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1DA" w:rsidRPr="005725A5" w:rsidRDefault="000F01DA" w:rsidP="000F01DA">
      <w:pPr>
        <w:tabs>
          <w:tab w:val="left" w:pos="360"/>
          <w:tab w:val="left" w:pos="1418"/>
        </w:tabs>
        <w:ind w:left="1418" w:right="334" w:hanging="1418"/>
        <w:jc w:val="both"/>
        <w:rPr>
          <w:rFonts w:ascii="Arial" w:hAnsi="Arial" w:cs="Arial"/>
          <w:b/>
          <w:sz w:val="22"/>
          <w:szCs w:val="22"/>
        </w:rPr>
      </w:pPr>
      <w:r w:rsidRPr="005725A5">
        <w:rPr>
          <w:rFonts w:ascii="Arial" w:hAnsi="Arial" w:cs="Arial"/>
          <w:b/>
          <w:sz w:val="22"/>
          <w:szCs w:val="22"/>
        </w:rPr>
        <w:t>EP. 145.-</w:t>
      </w:r>
      <w:r w:rsidRPr="005725A5">
        <w:rPr>
          <w:rFonts w:ascii="Arial" w:hAnsi="Arial" w:cs="Arial"/>
          <w:b/>
          <w:sz w:val="22"/>
          <w:szCs w:val="22"/>
        </w:rPr>
        <w:tab/>
        <w:t xml:space="preserve">DISEÑO  Y CONSTRUCCIÓN DE DESVIACIÓN DE LÍNEA HIDRÁULICA MUNICIPAL </w:t>
      </w:r>
      <w:r w:rsidR="00EB0582" w:rsidRPr="005725A5">
        <w:rPr>
          <w:rFonts w:ascii="Arial" w:hAnsi="Arial" w:cs="Arial"/>
          <w:b/>
          <w:sz w:val="22"/>
          <w:szCs w:val="22"/>
        </w:rPr>
        <w:t xml:space="preserve">DE 4” DE DIAMETRO </w:t>
      </w:r>
      <w:r w:rsidRPr="005725A5">
        <w:rPr>
          <w:rFonts w:ascii="Arial" w:hAnsi="Arial" w:cs="Arial"/>
          <w:b/>
          <w:sz w:val="22"/>
          <w:szCs w:val="22"/>
        </w:rPr>
        <w:t>EN AFECTACIÓN A INFRAESTRUCTURA DE CDG, P.U.O.T.</w:t>
      </w:r>
    </w:p>
    <w:p w:rsidR="000F01DA" w:rsidRPr="005725A5" w:rsidRDefault="000F01DA" w:rsidP="000F01DA">
      <w:pPr>
        <w:tabs>
          <w:tab w:val="left" w:pos="360"/>
          <w:tab w:val="left" w:pos="1418"/>
        </w:tabs>
        <w:ind w:left="1418" w:right="334" w:hanging="1418"/>
        <w:jc w:val="both"/>
        <w:rPr>
          <w:rFonts w:ascii="Arial" w:hAnsi="Arial" w:cs="Arial"/>
          <w:b/>
          <w:sz w:val="22"/>
          <w:szCs w:val="22"/>
        </w:rPr>
      </w:pPr>
    </w:p>
    <w:p w:rsidR="000F01DA" w:rsidRPr="005725A5" w:rsidRDefault="000F01DA" w:rsidP="000F01DA">
      <w:pPr>
        <w:tabs>
          <w:tab w:val="left" w:pos="360"/>
          <w:tab w:val="left" w:pos="1620"/>
          <w:tab w:val="left" w:pos="2127"/>
        </w:tabs>
        <w:ind w:left="2127" w:right="334" w:hanging="2127"/>
        <w:jc w:val="both"/>
        <w:rPr>
          <w:rFonts w:ascii="Arial" w:hAnsi="Arial" w:cs="Arial"/>
          <w:sz w:val="22"/>
          <w:szCs w:val="22"/>
          <w:u w:val="single"/>
        </w:rPr>
      </w:pPr>
    </w:p>
    <w:p w:rsidR="000F01DA" w:rsidRPr="005725A5" w:rsidRDefault="000F01DA" w:rsidP="000F01DA">
      <w:pPr>
        <w:tabs>
          <w:tab w:val="left" w:pos="360"/>
          <w:tab w:val="left" w:pos="1620"/>
          <w:tab w:val="left" w:pos="2127"/>
        </w:tabs>
        <w:ind w:left="2127" w:right="334" w:hanging="2127"/>
        <w:jc w:val="both"/>
        <w:rPr>
          <w:rFonts w:ascii="Arial" w:hAnsi="Arial" w:cs="Arial"/>
          <w:sz w:val="22"/>
          <w:szCs w:val="22"/>
          <w:u w:val="single"/>
        </w:rPr>
      </w:pPr>
    </w:p>
    <w:p w:rsidR="000F01DA" w:rsidRPr="005725A5" w:rsidRDefault="000F01DA" w:rsidP="000F01DA">
      <w:pPr>
        <w:tabs>
          <w:tab w:val="left" w:pos="360"/>
          <w:tab w:val="left" w:pos="1418"/>
          <w:tab w:val="left" w:pos="1620"/>
        </w:tabs>
        <w:ind w:right="-1"/>
        <w:jc w:val="both"/>
        <w:rPr>
          <w:rFonts w:ascii="Arial" w:hAnsi="Arial" w:cs="Arial"/>
          <w:sz w:val="22"/>
          <w:szCs w:val="22"/>
        </w:rPr>
      </w:pPr>
      <w:r w:rsidRPr="005725A5">
        <w:rPr>
          <w:rFonts w:ascii="Arial" w:hAnsi="Arial" w:cs="Arial"/>
          <w:b/>
          <w:sz w:val="22"/>
          <w:szCs w:val="22"/>
        </w:rPr>
        <w:t xml:space="preserve">EJECUCIÓN.- </w:t>
      </w:r>
      <w:r w:rsidRPr="005725A5">
        <w:rPr>
          <w:rFonts w:ascii="Arial" w:hAnsi="Arial" w:cs="Arial"/>
          <w:sz w:val="22"/>
          <w:szCs w:val="22"/>
        </w:rPr>
        <w:t xml:space="preserve">El diseño y construcción de la desviación de la línea hidráulica municipal </w:t>
      </w:r>
      <w:r w:rsidR="00EB0582" w:rsidRPr="005725A5">
        <w:rPr>
          <w:rFonts w:ascii="Arial" w:hAnsi="Arial" w:cs="Arial"/>
          <w:sz w:val="22"/>
          <w:szCs w:val="22"/>
        </w:rPr>
        <w:t xml:space="preserve">de 4” de diámetro </w:t>
      </w:r>
      <w:r w:rsidRPr="005725A5">
        <w:rPr>
          <w:rFonts w:ascii="Arial" w:hAnsi="Arial" w:cs="Arial"/>
          <w:sz w:val="22"/>
          <w:szCs w:val="22"/>
        </w:rPr>
        <w:t>que resulte afectada se proyectará y construirá de acuerdo a las normativas hidráulicas vigentes. La cancelación del actual sistema se realizará únicamente hasta que se encuentre operativo y funcional el nuevo sistema a utilizar. Los registros, los pozos de visita, las bases, las válvulas, los atraques, los elementos de fijación, las guarniciones, las banquetas y todos los elementos que intervienen en el sistema serán re-niveladas o totalmente reconstruidas según sea el caso particular para cada necesidad, cubriendo con esto todas</w:t>
      </w:r>
      <w:bookmarkStart w:id="0" w:name="_GoBack"/>
      <w:bookmarkEnd w:id="0"/>
      <w:r w:rsidRPr="005725A5">
        <w:rPr>
          <w:rFonts w:ascii="Arial" w:hAnsi="Arial" w:cs="Arial"/>
          <w:sz w:val="22"/>
          <w:szCs w:val="22"/>
        </w:rPr>
        <w:t xml:space="preserve"> las acciones pertinentes para desmontar, demoler o remover los elementos que para los fines del proyecto sean pertinentes. El nuevo tramo del sistema contará con la capacidad suficiente y la calidad necesaria para operar de manera eficiente de acuerdo a las especificaciones del proyecto.</w:t>
      </w:r>
    </w:p>
    <w:p w:rsidR="000F01DA" w:rsidRPr="005725A5" w:rsidRDefault="000F01DA" w:rsidP="000F01DA">
      <w:pPr>
        <w:tabs>
          <w:tab w:val="left" w:pos="360"/>
          <w:tab w:val="left" w:pos="1418"/>
          <w:tab w:val="left" w:pos="1620"/>
        </w:tabs>
        <w:ind w:right="-1"/>
        <w:jc w:val="both"/>
        <w:rPr>
          <w:rFonts w:ascii="Arial" w:hAnsi="Arial" w:cs="Arial"/>
          <w:sz w:val="22"/>
          <w:szCs w:val="22"/>
        </w:rPr>
      </w:pPr>
    </w:p>
    <w:p w:rsidR="000F01DA" w:rsidRPr="005725A5" w:rsidRDefault="000F01DA" w:rsidP="000F01DA">
      <w:pPr>
        <w:ind w:left="2127" w:right="334" w:hanging="2127"/>
        <w:jc w:val="both"/>
        <w:rPr>
          <w:rFonts w:ascii="Arial" w:hAnsi="Arial" w:cs="Arial"/>
          <w:b/>
          <w:sz w:val="22"/>
          <w:szCs w:val="22"/>
        </w:rPr>
      </w:pPr>
    </w:p>
    <w:p w:rsidR="000F01DA" w:rsidRPr="005725A5" w:rsidRDefault="000F01DA" w:rsidP="000F01DA">
      <w:pPr>
        <w:jc w:val="both"/>
        <w:rPr>
          <w:rFonts w:ascii="Arial" w:hAnsi="Arial" w:cs="Arial"/>
          <w:sz w:val="22"/>
          <w:szCs w:val="22"/>
        </w:rPr>
      </w:pPr>
      <w:r w:rsidRPr="005725A5">
        <w:rPr>
          <w:rFonts w:ascii="Arial" w:hAnsi="Arial" w:cs="Arial"/>
          <w:b/>
          <w:sz w:val="22"/>
          <w:szCs w:val="22"/>
        </w:rPr>
        <w:t xml:space="preserve">MEDICIÓN.- </w:t>
      </w:r>
      <w:r w:rsidRPr="005725A5">
        <w:rPr>
          <w:rFonts w:ascii="Arial" w:hAnsi="Arial" w:cs="Arial"/>
          <w:bCs/>
          <w:sz w:val="22"/>
          <w:szCs w:val="22"/>
        </w:rPr>
        <w:t>La medición del diseño  y construcción de desviación de línea hidráulica municipal en afectaciones</w:t>
      </w:r>
      <w:r w:rsidRPr="005725A5">
        <w:rPr>
          <w:rFonts w:ascii="Arial" w:hAnsi="Arial" w:cs="Arial"/>
          <w:sz w:val="22"/>
          <w:szCs w:val="22"/>
        </w:rPr>
        <w:t xml:space="preserve">, por unidad de obra terminada, </w:t>
      </w:r>
      <w:r w:rsidRPr="005725A5">
        <w:rPr>
          <w:rFonts w:ascii="Arial" w:hAnsi="Arial" w:cs="Arial"/>
          <w:bCs/>
          <w:sz w:val="22"/>
          <w:szCs w:val="22"/>
        </w:rPr>
        <w:t xml:space="preserve">se hará tomando como unidad </w:t>
      </w:r>
      <w:r w:rsidR="00222F80">
        <w:rPr>
          <w:rFonts w:ascii="Arial" w:hAnsi="Arial" w:cs="Arial"/>
          <w:sz w:val="22"/>
          <w:szCs w:val="22"/>
        </w:rPr>
        <w:t>la pieza</w:t>
      </w:r>
      <w:r w:rsidRPr="005725A5">
        <w:rPr>
          <w:rFonts w:ascii="Arial" w:hAnsi="Arial" w:cs="Arial"/>
          <w:sz w:val="22"/>
          <w:szCs w:val="22"/>
        </w:rPr>
        <w:t xml:space="preserve"> </w:t>
      </w:r>
      <w:r w:rsidR="007F5238">
        <w:rPr>
          <w:rFonts w:ascii="Arial" w:hAnsi="Arial" w:cs="Arial"/>
          <w:sz w:val="22"/>
          <w:szCs w:val="22"/>
        </w:rPr>
        <w:t xml:space="preserve">(PZA) </w:t>
      </w:r>
      <w:r w:rsidRPr="005725A5">
        <w:rPr>
          <w:rFonts w:ascii="Arial" w:hAnsi="Arial" w:cs="Arial"/>
          <w:sz w:val="22"/>
          <w:szCs w:val="22"/>
        </w:rPr>
        <w:t>de línea de hidráulica afectada.</w:t>
      </w:r>
    </w:p>
    <w:p w:rsidR="000F01DA" w:rsidRPr="005725A5" w:rsidRDefault="000F01DA" w:rsidP="000F01DA">
      <w:pPr>
        <w:ind w:left="2127" w:right="334" w:hanging="2127"/>
        <w:jc w:val="both"/>
        <w:rPr>
          <w:rFonts w:ascii="Arial" w:hAnsi="Arial" w:cs="Arial"/>
          <w:b/>
          <w:sz w:val="22"/>
          <w:szCs w:val="22"/>
        </w:rPr>
      </w:pPr>
    </w:p>
    <w:p w:rsidR="000F01DA" w:rsidRPr="005725A5" w:rsidRDefault="000F01DA" w:rsidP="000F01DA">
      <w:pPr>
        <w:ind w:left="2127" w:right="334" w:hanging="2127"/>
        <w:jc w:val="both"/>
        <w:rPr>
          <w:rFonts w:ascii="Arial" w:hAnsi="Arial" w:cs="Arial"/>
          <w:b/>
          <w:sz w:val="22"/>
          <w:szCs w:val="22"/>
        </w:rPr>
      </w:pPr>
    </w:p>
    <w:p w:rsidR="00D300D0" w:rsidRPr="005725A5" w:rsidRDefault="000F01DA" w:rsidP="000F01DA">
      <w:pPr>
        <w:rPr>
          <w:rFonts w:ascii="Arial" w:hAnsi="Arial" w:cs="Arial"/>
          <w:sz w:val="22"/>
          <w:szCs w:val="22"/>
        </w:rPr>
      </w:pPr>
      <w:r w:rsidRPr="005725A5">
        <w:rPr>
          <w:rFonts w:ascii="Arial" w:hAnsi="Arial" w:cs="Arial"/>
          <w:b/>
          <w:sz w:val="22"/>
          <w:szCs w:val="22"/>
        </w:rPr>
        <w:t xml:space="preserve">BASE DE PAGO.- </w:t>
      </w:r>
      <w:r w:rsidRPr="005725A5">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 El precio unitario incluye: elaboración de proyecto ejecutivo bajo normativa correspondiente, atención de observaciones de la supervisión de proyecto y la ejecución de la obra. Gestión de documentos, permisos, trámites, ejecución de los trabajos, materiales, mano de obra, equipo, herramienta, excavaciones, rellenos, grúas, compactación de terreno, construcción de registros y/o pozos de visita, bases, válvulas, atraques, elementos de fijación, soportes, andamios, reposición de banquetas y guarniciones afectadas por maniobras, limpieza del área de trabajo y todos los materiales, maquinaria y mano de obra para su correcta ejecución por unidad de obra terminada (P.U.O.T).</w:t>
      </w:r>
    </w:p>
    <w:p w:rsidR="00A311D6" w:rsidRPr="005725A5" w:rsidRDefault="00A311D6">
      <w:pPr>
        <w:rPr>
          <w:rFonts w:ascii="Arial" w:hAnsi="Arial" w:cs="Arial"/>
          <w:sz w:val="22"/>
          <w:szCs w:val="22"/>
        </w:rPr>
      </w:pPr>
    </w:p>
    <w:sectPr w:rsidR="00A311D6" w:rsidRPr="005725A5"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EB1735">
    <w:pPr>
      <w:pStyle w:val="Piedepgina"/>
      <w:framePr w:wrap="around" w:vAnchor="text" w:hAnchor="margin" w:xAlign="right" w:y="1"/>
      <w:rPr>
        <w:rStyle w:val="Nmerodepgina"/>
      </w:rPr>
    </w:pPr>
    <w:r>
      <w:rPr>
        <w:rStyle w:val="Nmerodepgina"/>
      </w:rPr>
      <w:fldChar w:fldCharType="begin"/>
    </w:r>
    <w:r w:rsidR="005325FB">
      <w:rPr>
        <w:rStyle w:val="Nmerodepgina"/>
      </w:rPr>
      <w:instrText xml:space="preserve">PAGE  </w:instrText>
    </w:r>
    <w:r>
      <w:rPr>
        <w:rStyle w:val="Nmerodepgina"/>
      </w:rPr>
      <w:fldChar w:fldCharType="separate"/>
    </w:r>
    <w:r w:rsidR="007F523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2B5A"/>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8B3"/>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22F80"/>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54C3"/>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238"/>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925"/>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1735"/>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63E83-9AF2-4C08-B369-246DB9F4E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370</Words>
  <Characters>2197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Gonzalez Flores, Mario Eduardo</cp:lastModifiedBy>
  <cp:revision>6</cp:revision>
  <cp:lastPrinted>2014-02-10T15:57:00Z</cp:lastPrinted>
  <dcterms:created xsi:type="dcterms:W3CDTF">2014-04-23T21:58:00Z</dcterms:created>
  <dcterms:modified xsi:type="dcterms:W3CDTF">2014-04-23T23:01:00Z</dcterms:modified>
</cp:coreProperties>
</file>